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color w:val="3D3D3D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D3D3D"/>
          <w:kern w:val="0"/>
          <w:szCs w:val="21"/>
          <w:shd w:val="clear" w:color="auto" w:fill="FFFFFF"/>
        </w:rPr>
        <w:t>附件四</w:t>
      </w:r>
    </w:p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浙江泰杭律师事务所首届业务技能大赛</w:t>
      </w:r>
    </w:p>
    <w:p>
      <w:pPr>
        <w:snapToGrid w:val="0"/>
        <w:spacing w:before="312" w:beforeLines="100" w:after="312" w:afterLines="100" w:line="360" w:lineRule="auto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接待当事人技能大赛活动方案</w:t>
      </w:r>
    </w:p>
    <w:p>
      <w:pPr>
        <w:spacing w:line="480" w:lineRule="exac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一、活动名称</w:t>
      </w:r>
    </w:p>
    <w:p>
      <w:pPr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 xml:space="preserve">    </w:t>
      </w:r>
      <w:r>
        <w:rPr>
          <w:rFonts w:hint="eastAsia" w:ascii="宋体" w:hAnsi="宋体" w:eastAsia="宋体" w:cs="宋体"/>
          <w:sz w:val="24"/>
        </w:rPr>
        <w:t>浙江泰杭律师事务所首届业务技能大赛之模拟接待当事人比赛</w:t>
      </w:r>
    </w:p>
    <w:p>
      <w:pPr>
        <w:spacing w:line="480" w:lineRule="exac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二、比赛宗旨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接待当事人是律师开展工作的第一步，律师通过接待当事人，了解案件基本情况及当事人的诉求以便决定工作思路和工作方案。本次比赛拟通过接待礼仪、提问技巧、案件分析和团队协作等方面考察参赛选手的接待能力。</w:t>
      </w:r>
    </w:p>
    <w:p>
      <w:pPr>
        <w:spacing w:line="480" w:lineRule="exac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三、参赛人员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总所、分所律师助理、实习律师及执业不满五年的律师必须参加，其余同事可按兴趣报名参赛。</w:t>
      </w:r>
    </w:p>
    <w:p>
      <w:pPr>
        <w:spacing w:line="480" w:lineRule="exac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四、组团及报名规则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每组二人，赛前半小时通过抽签决定分组，若总报名人数为单数，则有一组为三人，报名截止日期：11月5日18时前。</w:t>
      </w:r>
    </w:p>
    <w:p>
      <w:pPr>
        <w:tabs>
          <w:tab w:val="left" w:pos="2892"/>
        </w:tabs>
        <w:spacing w:line="480" w:lineRule="exac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五、活动场地及时间</w:t>
      </w:r>
      <w:r>
        <w:rPr>
          <w:rFonts w:hint="eastAsia" w:ascii="宋体" w:hAnsi="宋体" w:eastAsia="宋体" w:cs="宋体"/>
          <w:b/>
          <w:bCs/>
          <w:sz w:val="24"/>
        </w:rPr>
        <w:tab/>
      </w:r>
    </w:p>
    <w:p>
      <w:pPr>
        <w:tabs>
          <w:tab w:val="left" w:pos="2892"/>
        </w:tabs>
        <w:spacing w:line="480" w:lineRule="exact"/>
        <w:ind w:firstLine="56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总所大会议室，时间暂定2020年11月22日周日下午14:00-17:00（暂定），每组比赛时长不超过15分钟。</w:t>
      </w:r>
    </w:p>
    <w:p>
      <w:pPr>
        <w:tabs>
          <w:tab w:val="left" w:pos="2892"/>
        </w:tabs>
        <w:spacing w:line="480" w:lineRule="exac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六、活动安排</w:t>
      </w:r>
    </w:p>
    <w:p>
      <w:pPr>
        <w:tabs>
          <w:tab w:val="left" w:pos="2892"/>
        </w:tabs>
        <w:spacing w:line="480" w:lineRule="exact"/>
        <w:ind w:firstLine="562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（一）前期准备</w:t>
      </w:r>
    </w:p>
    <w:p>
      <w:pPr>
        <w:tabs>
          <w:tab w:val="left" w:pos="2892"/>
        </w:tabs>
        <w:spacing w:line="480" w:lineRule="exact"/>
        <w:ind w:firstLine="56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1.由组织方确定接待案件的类型，现暂定以下案件类型：</w:t>
      </w:r>
    </w:p>
    <w:p>
      <w:pPr>
        <w:tabs>
          <w:tab w:val="left" w:pos="2892"/>
        </w:tabs>
        <w:spacing w:line="480" w:lineRule="exact"/>
        <w:ind w:firstLine="56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（1）离婚纠纷</w:t>
      </w:r>
    </w:p>
    <w:p>
      <w:pPr>
        <w:tabs>
          <w:tab w:val="left" w:pos="2892"/>
        </w:tabs>
        <w:spacing w:line="480" w:lineRule="exact"/>
        <w:ind w:firstLine="56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（2）民间借贷纠纷</w:t>
      </w:r>
    </w:p>
    <w:p>
      <w:pPr>
        <w:tabs>
          <w:tab w:val="left" w:pos="2892"/>
        </w:tabs>
        <w:spacing w:line="480" w:lineRule="exact"/>
        <w:ind w:firstLine="56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（3）机动车交通事故责任纠纷</w:t>
      </w:r>
    </w:p>
    <w:p>
      <w:pPr>
        <w:tabs>
          <w:tab w:val="left" w:pos="2892"/>
        </w:tabs>
        <w:spacing w:line="480" w:lineRule="exact"/>
        <w:ind w:firstLine="56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（4）房屋租赁合同纠纷</w:t>
      </w:r>
    </w:p>
    <w:p>
      <w:pPr>
        <w:tabs>
          <w:tab w:val="left" w:pos="2892"/>
        </w:tabs>
        <w:spacing w:line="480" w:lineRule="exact"/>
        <w:ind w:firstLine="56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（5）劳动合同纠纷</w:t>
      </w:r>
    </w:p>
    <w:p>
      <w:pPr>
        <w:tabs>
          <w:tab w:val="left" w:pos="2892"/>
        </w:tabs>
        <w:spacing w:line="480" w:lineRule="exact"/>
        <w:ind w:firstLine="56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（6）名誉权纠纷</w:t>
      </w:r>
    </w:p>
    <w:p>
      <w:pPr>
        <w:tabs>
          <w:tab w:val="left" w:pos="2892"/>
        </w:tabs>
        <w:spacing w:line="480" w:lineRule="exact"/>
        <w:ind w:firstLine="56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2.需要找到至少五位扮演者，尽量为合伙人，告知其案件基本情况。</w:t>
      </w:r>
    </w:p>
    <w:p>
      <w:pPr>
        <w:tabs>
          <w:tab w:val="left" w:pos="2892"/>
        </w:tabs>
        <w:spacing w:line="480" w:lineRule="exact"/>
        <w:ind w:firstLine="56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3.准备必要的道具，劳动合同，房屋租赁合同等。</w:t>
      </w:r>
    </w:p>
    <w:p>
      <w:pPr>
        <w:tabs>
          <w:tab w:val="left" w:pos="2892"/>
        </w:tabs>
        <w:spacing w:line="480" w:lineRule="exact"/>
        <w:ind w:firstLine="56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4.提前做好分组抽签、案件简介抽签。</w:t>
      </w:r>
    </w:p>
    <w:p>
      <w:pPr>
        <w:tabs>
          <w:tab w:val="left" w:pos="2892"/>
        </w:tabs>
        <w:spacing w:line="480" w:lineRule="exact"/>
        <w:ind w:firstLine="56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5.邀请评委、主持人等。</w:t>
      </w:r>
    </w:p>
    <w:p>
      <w:pPr>
        <w:widowControl/>
        <w:spacing w:line="480" w:lineRule="exact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七、奖项设置</w:t>
      </w:r>
    </w:p>
    <w:p>
      <w:pPr>
        <w:widowControl/>
        <w:spacing w:line="480" w:lineRule="exact"/>
        <w:ind w:firstLine="600" w:firstLineChars="25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本次比赛设置一等奖 1名（600 元）、二等奖 2名（300 </w:t>
      </w:r>
    </w:p>
    <w:p>
      <w:pPr>
        <w:widowControl/>
        <w:spacing w:line="48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元/名）、三等奖2名（100 元/名），共5名。</w:t>
      </w:r>
    </w:p>
    <w:p>
      <w:pPr>
        <w:widowControl/>
        <w:spacing w:line="48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项目负责人：顾琪宏，联系电话：15958035270（微信同号）</w:t>
      </w:r>
    </w:p>
    <w:p>
      <w:pPr>
        <w:widowControl/>
        <w:spacing w:line="480" w:lineRule="exact"/>
        <w:jc w:val="righ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浙江泰杭律师事务所</w:t>
      </w:r>
    </w:p>
    <w:p>
      <w:pPr>
        <w:widowControl/>
        <w:spacing w:line="480" w:lineRule="exact"/>
        <w:jc w:val="righ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2020年10月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ar"/>
        </w:rPr>
        <w:t>23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日</w:t>
      </w:r>
    </w:p>
    <w:p>
      <w:pPr>
        <w:widowControl/>
        <w:spacing w:line="480" w:lineRule="exact"/>
        <w:jc w:val="center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480" w:lineRule="exact"/>
        <w:jc w:val="center"/>
        <w:rPr>
          <w:rFonts w:hint="eastAsia" w:ascii="宋体" w:hAnsi="宋体" w:eastAsia="宋体" w:cs="宋体"/>
          <w:b/>
          <w:sz w:val="24"/>
        </w:rPr>
      </w:pPr>
    </w:p>
    <w:p>
      <w:pPr>
        <w:widowControl/>
        <w:spacing w:line="480" w:lineRule="exact"/>
        <w:jc w:val="left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24"/>
        </w:rPr>
        <w:br w:type="page"/>
      </w:r>
    </w:p>
    <w:p>
      <w:pPr>
        <w:widowControl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模拟接待当事人比赛选手评分表</w:t>
      </w:r>
    </w:p>
    <w:p>
      <w:pPr>
        <w:widowControl/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tbl>
      <w:tblPr>
        <w:tblStyle w:val="5"/>
        <w:tblW w:w="8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457"/>
        <w:gridCol w:w="1457"/>
        <w:gridCol w:w="1457"/>
        <w:gridCol w:w="1457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2" w:hRule="atLeast"/>
        </w:trPr>
        <w:tc>
          <w:tcPr>
            <w:tcW w:w="1457" w:type="dxa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选手</w:t>
            </w:r>
          </w:p>
        </w:tc>
        <w:tc>
          <w:tcPr>
            <w:tcW w:w="1457" w:type="dxa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接待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礼仪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（20分）</w:t>
            </w:r>
          </w:p>
        </w:tc>
        <w:tc>
          <w:tcPr>
            <w:tcW w:w="1457" w:type="dxa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提问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技巧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（30分）</w:t>
            </w:r>
          </w:p>
        </w:tc>
        <w:tc>
          <w:tcPr>
            <w:tcW w:w="1457" w:type="dxa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案件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分析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（40分）</w:t>
            </w:r>
          </w:p>
        </w:tc>
        <w:tc>
          <w:tcPr>
            <w:tcW w:w="1457" w:type="dxa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团队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协作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（10分）</w:t>
            </w:r>
          </w:p>
        </w:tc>
        <w:tc>
          <w:tcPr>
            <w:tcW w:w="1461" w:type="dxa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总分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5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5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5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5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61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5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5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5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5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61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5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5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5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5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61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5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5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5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5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61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5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5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5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5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61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5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5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5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5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61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</w:tbl>
    <w:p>
      <w:pPr>
        <w:widowControl/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tabs>
          <w:tab w:val="left" w:pos="2892"/>
        </w:tabs>
        <w:rPr>
          <w:rFonts w:hint="eastAsia" w:ascii="宋体" w:hAnsi="宋体" w:eastAsia="宋体" w:cs="宋体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 w:cs="宋体"/>
          <w:color w:val="3D3D3D"/>
          <w:kern w:val="0"/>
          <w:szCs w:val="21"/>
          <w:shd w:val="clear" w:color="auto" w:fill="FFFFFF"/>
        </w:rPr>
      </w:pPr>
    </w:p>
    <w:p>
      <w:pPr>
        <w:snapToGrid w:val="0"/>
        <w:spacing w:line="460" w:lineRule="exact"/>
        <w:jc w:val="left"/>
        <w:rPr>
          <w:rFonts w:hint="eastAsia" w:ascii="宋体" w:hAnsi="宋体" w:eastAsia="宋体" w:cs="宋体"/>
          <w:color w:val="3D3D3D"/>
          <w:kern w:val="0"/>
          <w:szCs w:val="21"/>
          <w:shd w:val="clear" w:color="auto" w:fill="FFFFFF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7"/>
      </w:rPr>
      <w:id w:val="146099703"/>
      <w:docPartObj>
        <w:docPartGallery w:val="autotext"/>
      </w:docPartObj>
    </w:sdtPr>
    <w:sdtEndPr>
      <w:rPr>
        <w:rStyle w:val="7"/>
      </w:rPr>
    </w:sdtEndPr>
    <w:sdtContent>
      <w:p>
        <w:pPr>
          <w:pStyle w:val="2"/>
          <w:framePr w:wrap="around" w:vAnchor="text" w:hAnchor="margin" w:xAlign="center" w:y="1"/>
          <w:rPr>
            <w:rStyle w:val="7"/>
          </w:rPr>
        </w:pPr>
        <w:r>
          <w:rPr>
            <w:rStyle w:val="7"/>
          </w:rPr>
          <w:fldChar w:fldCharType="begin"/>
        </w:r>
        <w:r>
          <w:rPr>
            <w:rStyle w:val="7"/>
          </w:rPr>
          <w:instrText xml:space="preserve"> PAGE </w:instrText>
        </w:r>
        <w:r>
          <w:rPr>
            <w:rStyle w:val="7"/>
          </w:rPr>
          <w:fldChar w:fldCharType="separate"/>
        </w:r>
        <w:r>
          <w:rPr>
            <w:rStyle w:val="7"/>
          </w:rPr>
          <w:t>- 1 -</w:t>
        </w:r>
        <w:r>
          <w:rPr>
            <w:rStyle w:val="7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7"/>
      </w:rPr>
      <w:id w:val="217406579"/>
      <w:docPartObj>
        <w:docPartGallery w:val="autotext"/>
      </w:docPartObj>
    </w:sdtPr>
    <w:sdtEndPr>
      <w:rPr>
        <w:rStyle w:val="7"/>
      </w:rPr>
    </w:sdtEndPr>
    <w:sdtContent>
      <w:p>
        <w:pPr>
          <w:pStyle w:val="2"/>
          <w:framePr w:wrap="around" w:vAnchor="text" w:hAnchor="margin" w:xAlign="center" w:y="1"/>
          <w:rPr>
            <w:rStyle w:val="7"/>
          </w:rPr>
        </w:pPr>
        <w:r>
          <w:rPr>
            <w:rStyle w:val="7"/>
          </w:rPr>
          <w:fldChar w:fldCharType="begin"/>
        </w:r>
        <w:r>
          <w:rPr>
            <w:rStyle w:val="7"/>
          </w:rPr>
          <w:instrText xml:space="preserve"> PAGE </w:instrText>
        </w:r>
        <w:r>
          <w:rPr>
            <w:rStyle w:val="7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0" distR="0">
          <wp:extent cx="4367530" cy="9626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0774" cy="963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A1BDD"/>
    <w:rsid w:val="74DA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2020-10-23T01:54:00Z</dcterms:created>
  <dc:creator>ASUS</dc:creator>
  <cp:lastModifiedBy>ASUS</cp:lastModifiedBy>
  <dcterms:modified xsi:type="dcterms:W3CDTF">2020-10-23T01:55:14Z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