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left"/>
        <w:rPr>
          <w:rFonts w:hint="eastAsia" w:ascii="宋体" w:hAnsi="宋体" w:eastAsia="宋体" w:cs="宋体"/>
          <w:color w:val="3D3D3D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D3D3D"/>
          <w:kern w:val="0"/>
          <w:szCs w:val="21"/>
          <w:shd w:val="clear" w:color="auto" w:fill="FFFFFF"/>
        </w:rPr>
        <w:t>附件二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浙江泰杭律师事务所首届业务技能大赛</w:t>
      </w:r>
    </w:p>
    <w:p>
      <w:pPr>
        <w:snapToGrid w:val="0"/>
        <w:spacing w:before="312" w:beforeLines="100" w:after="312" w:afterLines="100"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法律基础知识竞赛活动方案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480" w:lineRule="exact"/>
        <w:ind w:left="487" w:hanging="487" w:hangingChars="20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活动名称</w:t>
      </w:r>
      <w:r>
        <w:rPr>
          <w:rFonts w:hint="eastAsia" w:ascii="宋体" w:hAnsi="宋体" w:eastAsia="宋体" w:cs="宋体"/>
          <w:sz w:val="24"/>
        </w:rPr>
        <w:t>：浙江泰杭律师事务所首届业务技能大赛之法律基础知识竞赛。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480" w:lineRule="exact"/>
        <w:ind w:left="487" w:hanging="487" w:hangingChars="20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比赛场地</w:t>
      </w:r>
      <w:r>
        <w:rPr>
          <w:rFonts w:hint="eastAsia" w:ascii="宋体" w:hAnsi="宋体" w:eastAsia="宋体" w:cs="宋体"/>
          <w:sz w:val="24"/>
        </w:rPr>
        <w:t>：总所大会议室。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480" w:lineRule="exact"/>
        <w:ind w:left="487" w:hanging="487" w:hangingChars="20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参赛人员</w:t>
      </w:r>
      <w:r>
        <w:rPr>
          <w:rFonts w:hint="eastAsia" w:ascii="宋体" w:hAnsi="宋体" w:eastAsia="宋体" w:cs="宋体"/>
          <w:sz w:val="24"/>
        </w:rPr>
        <w:t>：浙江泰杭律师事务所总部、宁海分所、宁波分所、安吉分所的所有同事均可参加，报名截止至2020年11月5日18:00，负责人统计报名人数后确定参赛队的组数，随机分配参赛队队员，每组参赛队人数相等。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480" w:lineRule="exact"/>
        <w:ind w:left="487" w:hanging="487" w:hangingChars="202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比赛时间：</w:t>
      </w:r>
      <w:r>
        <w:rPr>
          <w:rFonts w:hint="eastAsia" w:ascii="宋体" w:hAnsi="宋体" w:eastAsia="宋体" w:cs="宋体"/>
          <w:sz w:val="24"/>
        </w:rPr>
        <w:t>2020年11月21日周六晚上18:30-20:30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480" w:lineRule="exact"/>
        <w:ind w:left="487" w:hanging="487" w:hangingChars="202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比赛形式</w:t>
      </w:r>
    </w:p>
    <w:p>
      <w:pPr>
        <w:pStyle w:val="5"/>
        <w:numPr>
          <w:ilvl w:val="1"/>
          <w:numId w:val="1"/>
        </w:numPr>
        <w:tabs>
          <w:tab w:val="left" w:pos="851"/>
        </w:tabs>
        <w:spacing w:line="480" w:lineRule="exact"/>
        <w:ind w:left="0" w:firstLine="48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知微见著（必答题）：本环节由主持人依照座次向每支参赛队的队员提问，每队队员依座次轮流作答。本环节队员答题时不能与其它队员讨论，其他队员不得提示、暗示，否则视为犯规，不能得分，同时失去本环节答题资格。每题分值为10分，答题时间不超过20秒。在规定时间内答对加10分；答题内容不完整、答错题、不能回答或答题超时扣10分。</w:t>
      </w:r>
    </w:p>
    <w:p>
      <w:pPr>
        <w:pStyle w:val="5"/>
        <w:numPr>
          <w:ilvl w:val="1"/>
          <w:numId w:val="1"/>
        </w:numPr>
        <w:tabs>
          <w:tab w:val="left" w:pos="851"/>
        </w:tabs>
        <w:spacing w:line="480" w:lineRule="exact"/>
        <w:ind w:left="0" w:firstLine="48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快马加鞭（抢答题）：本环节中各参赛队在主持人宣布“开始”后方可起身抢答，可由队中任意一名队员做答。每题分值为10分，答题时间不超过10秒。在规定时间内答对加10分；答错题、不能回答或答题超时扣10分；提前抢答视为违规，扣10分。如在本轮环节中分数扣除至零分将失去本环节抢答资格。</w:t>
      </w:r>
    </w:p>
    <w:p>
      <w:pPr>
        <w:pStyle w:val="5"/>
        <w:numPr>
          <w:ilvl w:val="1"/>
          <w:numId w:val="1"/>
        </w:numPr>
        <w:tabs>
          <w:tab w:val="left" w:pos="851"/>
        </w:tabs>
        <w:spacing w:line="480" w:lineRule="exact"/>
        <w:ind w:left="0" w:firstLine="48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攻防守擂（必答题）：本环节题型分为实体法、程序法两种类型，由参赛队之间相互提问，按前两轮比赛总得分为序，由分数最低队开始从左到右（主持人现场确定顺序）依次向其余参赛队提问，由被提问方确定1名队员作答。提问方从题库中任选1题向回答方提问。每题分值10分，答题时间不超过20秒，提问方不能向已回答过问题的代表队重复提问。回答正确，回答方得10分；回答错误，提问方得10分。</w:t>
      </w:r>
    </w:p>
    <w:p>
      <w:pPr>
        <w:pStyle w:val="5"/>
        <w:numPr>
          <w:ilvl w:val="1"/>
          <w:numId w:val="1"/>
        </w:numPr>
        <w:tabs>
          <w:tab w:val="left" w:pos="851"/>
        </w:tabs>
        <w:spacing w:line="480" w:lineRule="exact"/>
        <w:ind w:left="0" w:firstLine="48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千钧一发（风险题）：本环节题型分为20分、30分、40分3种类型，每支代表队可自由选择3种类型中任意1题作答，也可放弃本环节不作答。每支代表队只有1次选择机会，答题时间不超过1分钟，队员间可以相互讨论和补充，回答正确得相应的分值，回答错误扣相应的分值。</w:t>
      </w:r>
    </w:p>
    <w:p>
      <w:pPr>
        <w:tabs>
          <w:tab w:val="left" w:pos="851"/>
        </w:tabs>
        <w:spacing w:line="48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注：以上为本次比赛题目形式，组织方会事先准备好题库，报名截止后根据人数确定每种题型具体题目的数量。</w:t>
      </w:r>
    </w:p>
    <w:p>
      <w:pPr>
        <w:pStyle w:val="5"/>
        <w:numPr>
          <w:ilvl w:val="0"/>
          <w:numId w:val="1"/>
        </w:numPr>
        <w:tabs>
          <w:tab w:val="left" w:pos="567"/>
        </w:tabs>
        <w:spacing w:line="480" w:lineRule="exact"/>
        <w:ind w:left="487" w:hanging="487" w:hangingChars="202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奖项设置</w:t>
      </w:r>
    </w:p>
    <w:p>
      <w:pPr>
        <w:tabs>
          <w:tab w:val="left" w:pos="851"/>
        </w:tabs>
        <w:spacing w:line="48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本次比赛设置个人一等奖1名（500元）、个人二等奖2名（300元/名）、个人三等奖3名（100元/名），团体“最佳智囊团”奖1名（1000元），具体数量统计参赛人数后确定。</w:t>
      </w:r>
    </w:p>
    <w:p>
      <w:pPr>
        <w:pStyle w:val="5"/>
        <w:numPr>
          <w:ilvl w:val="0"/>
          <w:numId w:val="1"/>
        </w:numPr>
        <w:tabs>
          <w:tab w:val="left" w:pos="851"/>
        </w:tabs>
        <w:spacing w:line="480" w:lineRule="exact"/>
        <w:ind w:left="567" w:hanging="567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本项目负责人：龙则灵，联系方式：13575481774（微信同号）</w:t>
      </w:r>
    </w:p>
    <w:p>
      <w:pPr>
        <w:tabs>
          <w:tab w:val="left" w:pos="851"/>
        </w:tabs>
        <w:spacing w:line="480" w:lineRule="exact"/>
        <w:rPr>
          <w:rFonts w:hint="eastAsia" w:ascii="宋体" w:hAnsi="宋体" w:eastAsia="宋体" w:cs="宋体"/>
          <w:sz w:val="24"/>
        </w:rPr>
      </w:pPr>
    </w:p>
    <w:p>
      <w:pPr>
        <w:tabs>
          <w:tab w:val="left" w:pos="851"/>
        </w:tabs>
        <w:spacing w:line="48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浙江泰杭律师事务所</w:t>
      </w:r>
    </w:p>
    <w:p>
      <w:pPr>
        <w:tabs>
          <w:tab w:val="left" w:pos="851"/>
        </w:tabs>
        <w:spacing w:line="48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2020年10月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tabs>
          <w:tab w:val="left" w:pos="851"/>
        </w:tabs>
        <w:spacing w:line="480" w:lineRule="exact"/>
        <w:rPr>
          <w:rFonts w:hint="eastAsia" w:ascii="宋体" w:hAnsi="宋体" w:eastAsia="宋体" w:cs="宋体"/>
          <w:sz w:val="24"/>
        </w:rPr>
      </w:pPr>
    </w:p>
    <w:p>
      <w:pPr>
        <w:widowControl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tabs>
          <w:tab w:val="left" w:pos="851"/>
        </w:tabs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 参赛队伍及选手计分表（每组参赛队一张）</w:t>
      </w:r>
    </w:p>
    <w:p>
      <w:pPr>
        <w:tabs>
          <w:tab w:val="left" w:pos="851"/>
        </w:tabs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417"/>
        <w:gridCol w:w="1418"/>
        <w:gridCol w:w="1417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知微见著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快马加鞭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攻防守擂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千钧一发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小计(选手)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选手姓名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总分(队伍)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6F15"/>
    <w:multiLevelType w:val="multilevel"/>
    <w:tmpl w:val="25636F15"/>
    <w:lvl w:ilvl="0" w:tentative="0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407" w:hanging="360"/>
      </w:pPr>
      <w:rPr>
        <w:rFonts w:hint="default" w:eastAsia="等线" w:asciiTheme="minorEastAsia" w:hAnsiTheme="minorEastAsia"/>
      </w:rPr>
    </w:lvl>
    <w:lvl w:ilvl="2" w:tentative="0">
      <w:start w:val="1"/>
      <w:numFmt w:val="lowerRoman"/>
      <w:lvlText w:val="%3."/>
      <w:lvlJc w:val="right"/>
      <w:pPr>
        <w:ind w:left="2007" w:hanging="480"/>
      </w:pPr>
    </w:lvl>
    <w:lvl w:ilvl="3" w:tentative="0">
      <w:start w:val="1"/>
      <w:numFmt w:val="decimal"/>
      <w:lvlText w:val="%4."/>
      <w:lvlJc w:val="left"/>
      <w:pPr>
        <w:ind w:left="2487" w:hanging="480"/>
      </w:pPr>
    </w:lvl>
    <w:lvl w:ilvl="4" w:tentative="0">
      <w:start w:val="1"/>
      <w:numFmt w:val="ideographTraditional"/>
      <w:lvlText w:val="%5、"/>
      <w:lvlJc w:val="left"/>
      <w:pPr>
        <w:ind w:left="2967" w:hanging="480"/>
      </w:pPr>
    </w:lvl>
    <w:lvl w:ilvl="5" w:tentative="0">
      <w:start w:val="1"/>
      <w:numFmt w:val="lowerRoman"/>
      <w:lvlText w:val="%6."/>
      <w:lvlJc w:val="right"/>
      <w:pPr>
        <w:ind w:left="3447" w:hanging="480"/>
      </w:pPr>
    </w:lvl>
    <w:lvl w:ilvl="6" w:tentative="0">
      <w:start w:val="1"/>
      <w:numFmt w:val="decimal"/>
      <w:lvlText w:val="%7."/>
      <w:lvlJc w:val="left"/>
      <w:pPr>
        <w:ind w:left="3927" w:hanging="480"/>
      </w:pPr>
    </w:lvl>
    <w:lvl w:ilvl="7" w:tentative="0">
      <w:start w:val="1"/>
      <w:numFmt w:val="ideographTraditional"/>
      <w:lvlText w:val="%8、"/>
      <w:lvlJc w:val="left"/>
      <w:pPr>
        <w:ind w:left="4407" w:hanging="480"/>
      </w:pPr>
    </w:lvl>
    <w:lvl w:ilvl="8" w:tentative="0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F4101"/>
    <w:rsid w:val="34E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2020-10-23T01:53:00Z</dcterms:created>
  <dc:creator>ASUS</dc:creator>
  <cp:lastModifiedBy>ASUS</cp:lastModifiedBy>
  <dcterms:modified xsi:type="dcterms:W3CDTF">2020-10-23T01:53:35Z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