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附件三</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浙江泰杭律师事务所首届业务技能大赛</w:t>
      </w:r>
    </w:p>
    <w:p>
      <w:pPr>
        <w:keepNext w:val="0"/>
        <w:keepLines w:val="0"/>
        <w:pageBreakBefore w:val="0"/>
        <w:widowControl w:val="0"/>
        <w:kinsoku/>
        <w:wordWrap/>
        <w:overflowPunct/>
        <w:topLinePunct w:val="0"/>
        <w:autoSpaceDE/>
        <w:autoSpaceDN/>
        <w:bidi w:val="0"/>
        <w:adjustRightInd/>
        <w:snapToGrid w:val="0"/>
        <w:spacing w:before="156" w:beforeLines="50"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最美观法律文书评比活动方案</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一、活动名称</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浙江泰杭律师事务所首届业务技能大赛之“最美法律文书”排版设计大赛。</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二、主办单位</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浙江泰杭律师事务所</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三、协办单位</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浙江泰杭（安吉）律师事务所</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浙江泰杭（宁海）律师事务所</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浙江泰杭（宁波）律师事务所</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承办单位</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浙江泰杭律师事务所 团支部</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浙江泰杭律师事务所 管委会学习部</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浙江泰杭律师事务所 管委会宣传部</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四、活动时间</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（一）预选赛时间：2020年10月20日至2020年11月15日。</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（二）决赛时间：2020年11月22日上午9:00-12:00</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五、活动场地</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0"/>
        <w:textAlignment w:val="auto"/>
        <w:rPr>
          <w:rFonts w:hint="eastAsia" w:ascii="宋体" w:hAnsi="宋体" w:eastAsia="宋体" w:cs="宋体"/>
          <w:sz w:val="24"/>
        </w:rPr>
      </w:pPr>
      <w:r>
        <w:rPr>
          <w:rFonts w:hint="eastAsia" w:ascii="宋体" w:hAnsi="宋体" w:eastAsia="宋体" w:cs="宋体"/>
          <w:sz w:val="24"/>
        </w:rPr>
        <w:t>预算赛活动场地不限，根据评委的方便决定，决赛活动场地在事务所大会议室。</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六、参赛单位及人员</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0"/>
        <w:textAlignment w:val="auto"/>
        <w:rPr>
          <w:rFonts w:hint="eastAsia" w:ascii="宋体" w:hAnsi="宋体" w:eastAsia="宋体" w:cs="宋体"/>
          <w:sz w:val="24"/>
        </w:rPr>
      </w:pPr>
      <w:r>
        <w:rPr>
          <w:rFonts w:hint="eastAsia" w:ascii="宋体" w:hAnsi="宋体" w:eastAsia="宋体" w:cs="宋体"/>
          <w:sz w:val="24"/>
        </w:rPr>
        <w:t>浙江泰杭律师事务所总部及各分所均应当参与，所有律师、实习律师均需要提交自己目前正在使用的最优文本。</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0"/>
        <w:textAlignment w:val="auto"/>
        <w:rPr>
          <w:rFonts w:hint="eastAsia" w:ascii="宋体" w:hAnsi="宋体" w:eastAsia="宋体" w:cs="宋体"/>
          <w:sz w:val="24"/>
        </w:rPr>
      </w:pPr>
      <w:r>
        <w:rPr>
          <w:rFonts w:hint="eastAsia" w:ascii="宋体" w:hAnsi="宋体" w:eastAsia="宋体" w:cs="宋体"/>
          <w:sz w:val="24"/>
        </w:rPr>
        <w:t>分所成员可以先内部进行评比，由分所统一提交，总所同事可联合投稿（最多不超过5人），投稿时明确投稿参选人。</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本次活动由管委会纪律委员全程监督，未在规定时间内提交文书的同事请向管委会纪律委员郑英师，书面说明情况。</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七、具体活动安排</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1、预选赛期间，参选人员把自己设计的文书全部压缩发送至969507569@qq.com邮箱进行初步筛选；</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2、预选赛期间，由承办单位邀请二名合伙人对参选文书进行评选，承办单位在隐去参选人信息后提交给合伙人评委。</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评委应当在收到作品后三日内，对每一类文书作品提取其中最优质的三份根据收到文件夹压缩包的编号备注后（如文件夹压缩包备注为1号作品集，其中选择其中某一份作品进入决赛，那么该份作品选出后重新命名为“1号文件夹作品”）发送至969507569@qq.com邮箱；</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4、决赛评委对筛选后的文书进行现场打分，分数最高者获胜；</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八、比赛规则</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1、参赛选手需将各类文书转化为PDF文件，放入文件夹中，文件夹以【某某某】或【某某某与某某某】命名然后整体压缩；</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2、文书内容需要对页眉、页脚设计、排版格式设计、通用开头、结尾语言表达设计等，文书中的主文内容当事人姓名需要隐去。</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3、文书内容中不允许出现提交人或本所其他律师姓名；</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4、参赛选手可以自己设计也可以搬运其他律所优秀的文书，搬运文书的，应当在搬运作品名称中进行备注。</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九、奖项设置</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1、评分最高的文书设计者会获得“单项最美设计奖”，奖金300元；</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2、获三项及以上最美设计奖的，获称“泰杭匠人”称号，年会上予以表彰；</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获最美设计奖的作品将作为事务所（总分所）的格式模版予以使用，如日后有设计更为精美的文书可在半年后向学习部提出并与现有模版进行PK，经评委投票，票数较多的获胜，挑战成功的，可以获“泰杭匠人”称号在年会中予以表彰，并额外奖励300元。</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4、参考其他律所的优秀模版，需在投稿时注明，获奖者获称“最美文书搬运工”称号，并额外奖励100元，重复搬运的，以获奖多的为胜。</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十、活动人员安排</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0"/>
        <w:textAlignment w:val="auto"/>
        <w:rPr>
          <w:rFonts w:hint="eastAsia" w:ascii="宋体" w:hAnsi="宋体" w:eastAsia="宋体" w:cs="宋体"/>
          <w:sz w:val="24"/>
        </w:rPr>
      </w:pPr>
      <w:r>
        <w:rPr>
          <w:rFonts w:hint="eastAsia" w:ascii="宋体" w:hAnsi="宋体" w:eastAsia="宋体" w:cs="宋体"/>
          <w:sz w:val="24"/>
        </w:rPr>
        <w:t>工作人员安排：1、收集全所作品人员1人；2、文书分类人员3人；3、决赛文书准备与现场电脑调试1名；4、决赛主持人1名；</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十一、活动预算</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1、荣誉证书，数量10，单价10，总价100元；</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2、选手奖金，数量8-10，奖金300元/项，总价2400-3000元；</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十二、参选文书类型</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sz w:val="24"/>
        </w:rPr>
      </w:pPr>
      <w:r>
        <w:rPr>
          <w:rFonts w:hint="eastAsia" w:ascii="宋体" w:hAnsi="宋体" w:eastAsia="宋体" w:cs="宋体"/>
          <w:sz w:val="24"/>
        </w:rPr>
        <w:t>1、委托代理合同2、谈话笔录3、授权委托书4、起诉状5、证据清单6、代理意见/答辩意见/辩论意见7、律师函8、名片（正反面）9、风险告知书10、公函</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eastAsia" w:ascii="宋体" w:hAnsi="宋体" w:eastAsia="宋体" w:cs="宋体"/>
          <w:b/>
          <w:bCs/>
          <w:sz w:val="24"/>
        </w:rPr>
      </w:pPr>
      <w:r>
        <w:rPr>
          <w:rFonts w:hint="eastAsia" w:ascii="宋体" w:hAnsi="宋体" w:eastAsia="宋体" w:cs="宋体"/>
          <w:b/>
          <w:bCs/>
          <w:sz w:val="24"/>
        </w:rPr>
        <w:t>十三、评选标准</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预选赛标准：1、符合参赛的格式要求；2、排版美观；3、没有错别字</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决赛要求：1、排版美观、大方（满分10分）；2、格式性文本陈述得体、干练（满分10分）；3、页眉页脚设计逼格高（满分10分）；4、评委对于特别满意的可额外加分（满分5分）</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评委将根据上述标准，以及自己内心优秀文书的标准对每类参赛作品进行评比打分，总分最高35分，根据评委综合评分平均值最高的文书获胜。</w:t>
      </w:r>
    </w:p>
    <w:p>
      <w:pPr>
        <w:spacing w:before="156" w:beforeLines="50" w:line="480" w:lineRule="exact"/>
        <w:jc w:val="center"/>
        <w:rPr>
          <w:rFonts w:hint="eastAsia" w:ascii="宋体" w:hAnsi="宋体" w:eastAsia="宋体" w:cs="宋体"/>
          <w:b/>
          <w:bCs/>
          <w:sz w:val="30"/>
          <w:szCs w:val="30"/>
        </w:rPr>
      </w:pPr>
      <w:bookmarkStart w:id="0" w:name="_GoBack"/>
      <w:bookmarkEnd w:id="0"/>
      <w:r>
        <w:rPr>
          <w:rFonts w:hint="eastAsia" w:ascii="宋体" w:hAnsi="宋体" w:eastAsia="宋体" w:cs="宋体"/>
          <w:b/>
          <w:bCs/>
          <w:sz w:val="30"/>
          <w:szCs w:val="30"/>
        </w:rPr>
        <w:t>最美法律文书评分表</w:t>
      </w:r>
    </w:p>
    <w:tbl>
      <w:tblPr>
        <w:tblStyle w:val="3"/>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234"/>
        <w:gridCol w:w="1234"/>
        <w:gridCol w:w="1234"/>
        <w:gridCol w:w="1234"/>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34"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文书编号</w:t>
            </w:r>
          </w:p>
        </w:tc>
        <w:tc>
          <w:tcPr>
            <w:tcW w:w="1234"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文书类型</w:t>
            </w:r>
          </w:p>
        </w:tc>
        <w:tc>
          <w:tcPr>
            <w:tcW w:w="1234"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排版</w:t>
            </w:r>
          </w:p>
        </w:tc>
        <w:tc>
          <w:tcPr>
            <w:tcW w:w="1234"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文本</w:t>
            </w:r>
          </w:p>
        </w:tc>
        <w:tc>
          <w:tcPr>
            <w:tcW w:w="1234"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页眉页脚</w:t>
            </w:r>
          </w:p>
        </w:tc>
        <w:tc>
          <w:tcPr>
            <w:tcW w:w="1235"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偏好</w:t>
            </w:r>
          </w:p>
        </w:tc>
        <w:tc>
          <w:tcPr>
            <w:tcW w:w="1235" w:type="dxa"/>
          </w:tcPr>
          <w:p>
            <w:pPr>
              <w:spacing w:before="156" w:beforeLines="50" w:line="360" w:lineRule="auto"/>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4"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c>
          <w:tcPr>
            <w:tcW w:w="1235" w:type="dxa"/>
          </w:tcPr>
          <w:p>
            <w:pPr>
              <w:spacing w:before="156" w:beforeLines="50" w:line="360" w:lineRule="auto"/>
              <w:rPr>
                <w:rFonts w:hint="eastAsia" w:ascii="宋体" w:hAnsi="宋体" w:eastAsia="宋体" w:cs="宋体"/>
                <w:sz w:val="24"/>
              </w:rPr>
            </w:pPr>
          </w:p>
        </w:tc>
      </w:tr>
    </w:tbl>
    <w:p>
      <w:pPr>
        <w:spacing w:before="156" w:beforeLines="50"/>
        <w:rPr>
          <w:rFonts w:hint="eastAsia" w:ascii="宋体" w:hAnsi="宋体" w:eastAsia="宋体" w:cs="宋体"/>
          <w:sz w:val="24"/>
        </w:rPr>
      </w:pPr>
      <w:r>
        <w:rPr>
          <w:rFonts w:hint="eastAsia" w:ascii="宋体" w:hAnsi="宋体" w:eastAsia="宋体" w:cs="宋体"/>
          <w:sz w:val="24"/>
        </w:rPr>
        <w:t>文书编号：审阅文书的文件编号</w:t>
      </w:r>
    </w:p>
    <w:p>
      <w:pPr>
        <w:spacing w:before="156" w:beforeLines="50"/>
        <w:rPr>
          <w:rFonts w:hint="eastAsia" w:ascii="宋体" w:hAnsi="宋体" w:eastAsia="宋体" w:cs="宋体"/>
          <w:sz w:val="24"/>
        </w:rPr>
      </w:pPr>
      <w:r>
        <w:rPr>
          <w:rFonts w:hint="eastAsia" w:ascii="宋体" w:hAnsi="宋体" w:eastAsia="宋体" w:cs="宋体"/>
          <w:sz w:val="24"/>
        </w:rPr>
        <w:t>评分标准：</w:t>
      </w:r>
    </w:p>
    <w:p>
      <w:pPr>
        <w:spacing w:before="156" w:beforeLines="50"/>
        <w:rPr>
          <w:rFonts w:hint="eastAsia" w:ascii="宋体" w:hAnsi="宋体" w:eastAsia="宋体" w:cs="宋体"/>
          <w:sz w:val="24"/>
        </w:rPr>
      </w:pPr>
      <w:r>
        <w:rPr>
          <w:rFonts w:hint="eastAsia" w:ascii="宋体" w:hAnsi="宋体" w:eastAsia="宋体" w:cs="宋体"/>
          <w:sz w:val="24"/>
        </w:rPr>
        <w:t>1、排版美观、大方（满分10分）；</w:t>
      </w:r>
    </w:p>
    <w:p>
      <w:pPr>
        <w:spacing w:before="156" w:beforeLines="50"/>
        <w:rPr>
          <w:rFonts w:hint="eastAsia" w:ascii="宋体" w:hAnsi="宋体" w:eastAsia="宋体" w:cs="宋体"/>
          <w:sz w:val="24"/>
        </w:rPr>
      </w:pPr>
      <w:r>
        <w:rPr>
          <w:rFonts w:hint="eastAsia" w:ascii="宋体" w:hAnsi="宋体" w:eastAsia="宋体" w:cs="宋体"/>
          <w:sz w:val="24"/>
        </w:rPr>
        <w:t>2、格式性文本陈述得体、干练（满分10分）；</w:t>
      </w:r>
    </w:p>
    <w:p>
      <w:pPr>
        <w:spacing w:before="156" w:beforeLines="50"/>
        <w:rPr>
          <w:rFonts w:hint="eastAsia" w:ascii="宋体" w:hAnsi="宋体" w:eastAsia="宋体" w:cs="宋体"/>
          <w:sz w:val="24"/>
        </w:rPr>
      </w:pPr>
      <w:r>
        <w:rPr>
          <w:rFonts w:hint="eastAsia" w:ascii="宋体" w:hAnsi="宋体" w:eastAsia="宋体" w:cs="宋体"/>
          <w:sz w:val="24"/>
        </w:rPr>
        <w:t>3、页眉页脚设计逼格高（满分10分）；</w:t>
      </w:r>
    </w:p>
    <w:p>
      <w:pPr>
        <w:spacing w:before="156" w:beforeLines="50"/>
        <w:rPr>
          <w:rFonts w:hint="eastAsia" w:ascii="宋体" w:hAnsi="宋体" w:eastAsia="宋体" w:cs="宋体"/>
          <w:sz w:val="24"/>
        </w:rPr>
      </w:pPr>
      <w:r>
        <w:rPr>
          <w:rFonts w:hint="eastAsia" w:ascii="宋体" w:hAnsi="宋体" w:eastAsia="宋体" w:cs="宋体"/>
          <w:sz w:val="24"/>
        </w:rPr>
        <w:t>4、评委对于特别满意的可额外加分（满分5分）</w:t>
      </w:r>
    </w:p>
    <w:p>
      <w:pPr>
        <w:tabs>
          <w:tab w:val="left" w:pos="851"/>
        </w:tabs>
        <w:spacing w:line="560" w:lineRule="exact"/>
        <w:rPr>
          <w:rFonts w:hint="eastAsia"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95687"/>
    <w:rsid w:val="6A49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2020-10-23T01:53:00Z</dcterms:created>
  <dc:creator>ASUS</dc:creator>
  <cp:lastModifiedBy>ASUS</cp:lastModifiedBy>
  <dcterms:modified xsi:type="dcterms:W3CDTF">2020-10-23T01:54:42Z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